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84" w:rsidRPr="00E0544F" w:rsidRDefault="00EB7BA2" w:rsidP="00E12996">
      <w:pPr>
        <w:jc w:val="center"/>
        <w:rPr>
          <w:rFonts w:ascii="Calibri" w:hAnsi="Calibri" w:cs="Arial"/>
          <w:b/>
          <w:noProof/>
          <w:color w:val="1F497D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A9747D" wp14:editId="51E6E754">
                <wp:simplePos x="0" y="0"/>
                <wp:positionH relativeFrom="column">
                  <wp:posOffset>1944949</wp:posOffset>
                </wp:positionH>
                <wp:positionV relativeFrom="paragraph">
                  <wp:posOffset>122113</wp:posOffset>
                </wp:positionV>
                <wp:extent cx="2948305" cy="352425"/>
                <wp:effectExtent l="0" t="0" r="23495" b="2857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524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E0D" w:rsidRPr="0080070B" w:rsidRDefault="0080070B" w:rsidP="00CF1DE1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  <w:lang w:val="fr-FR"/>
                              </w:rPr>
                              <w:t>Activité de groupe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A9747D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left:0;text-align:left;margin-left:153.15pt;margin-top:9.6pt;width:232.1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" fillcolor="#0070c0" strokecolor="#4f81bd" strokeweight=".5pt">
                <v:textbox>
                  <w:txbxContent>
                    <w:p w:rsidR="00F54E0D" w:rsidRPr="0080070B" w:rsidRDefault="0080070B" w:rsidP="00CF1DE1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  <w:lang w:val="fr-FR"/>
                        </w:rPr>
                        <w:t>Activité de groupe</w:t>
                      </w:r>
                    </w:p>
                  </w:txbxContent>
                </v:textbox>
              </v:shape>
            </w:pict>
          </mc:Fallback>
        </mc:AlternateContent>
      </w:r>
    </w:p>
    <w:p w:rsidR="00037C84" w:rsidRDefault="00037C84" w:rsidP="00EB7BA2">
      <w:pPr>
        <w:rPr>
          <w:rFonts w:ascii="Arial" w:hAnsi="Arial" w:cs="Arial"/>
          <w:b/>
        </w:rPr>
      </w:pPr>
    </w:p>
    <w:p w:rsidR="00692E5B" w:rsidRPr="0075727D" w:rsidRDefault="00692E5B" w:rsidP="00EB7BA2">
      <w:pPr>
        <w:rPr>
          <w:rFonts w:ascii="Arial" w:hAnsi="Arial" w:cs="Arial"/>
          <w:b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8010"/>
      </w:tblGrid>
      <w:tr w:rsidR="00037C84" w:rsidRPr="003C4C88" w:rsidTr="00EB3963">
        <w:trPr>
          <w:trHeight w:val="665"/>
        </w:trPr>
        <w:tc>
          <w:tcPr>
            <w:tcW w:w="1800" w:type="dxa"/>
          </w:tcPr>
          <w:p w:rsidR="00037C84" w:rsidRPr="003C4C88" w:rsidRDefault="0080070B" w:rsidP="00692E5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EB3963">
              <w:rPr>
                <w:rFonts w:ascii="Arial" w:hAnsi="Arial" w:cs="Arial"/>
                <w:b/>
                <w:bCs/>
                <w:lang w:val="fr-FR"/>
              </w:rPr>
              <w:t>Type/titre de l’activité</w:t>
            </w:r>
          </w:p>
        </w:tc>
        <w:tc>
          <w:tcPr>
            <w:tcW w:w="8010" w:type="dxa"/>
          </w:tcPr>
          <w:p w:rsidR="00037C84" w:rsidRPr="003C4C88" w:rsidRDefault="00EB3963" w:rsidP="00692E5B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EB3963">
              <w:rPr>
                <w:rFonts w:ascii="Arial" w:hAnsi="Arial" w:cs="Arial"/>
                <w:lang w:val="fr-FR"/>
              </w:rPr>
              <w:t xml:space="preserve">Comprendre </w:t>
            </w:r>
            <w:r w:rsidR="0080070B" w:rsidRPr="00EB3963">
              <w:rPr>
                <w:rFonts w:ascii="Arial" w:hAnsi="Arial" w:cs="Arial"/>
                <w:lang w:val="fr-FR"/>
              </w:rPr>
              <w:t>l’article 33</w:t>
            </w:r>
            <w:r w:rsidRPr="00EB3963">
              <w:rPr>
                <w:rFonts w:ascii="Arial" w:hAnsi="Arial" w:cs="Arial"/>
                <w:lang w:val="fr-FR"/>
              </w:rPr>
              <w:t xml:space="preserve"> dans la pratique</w:t>
            </w:r>
          </w:p>
        </w:tc>
      </w:tr>
      <w:tr w:rsidR="00037C84" w:rsidRPr="003C4C88" w:rsidTr="00EB3963">
        <w:tc>
          <w:tcPr>
            <w:tcW w:w="1800" w:type="dxa"/>
          </w:tcPr>
          <w:p w:rsidR="00037C84" w:rsidRPr="003C4C88" w:rsidRDefault="0080070B" w:rsidP="00692E5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EB3963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80070B" w:rsidP="00692E5B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EB3963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1 heure</w:t>
            </w:r>
          </w:p>
        </w:tc>
      </w:tr>
      <w:tr w:rsidR="00037C84" w:rsidRPr="003C4C88" w:rsidTr="00EB3963">
        <w:trPr>
          <w:trHeight w:val="435"/>
        </w:trPr>
        <w:tc>
          <w:tcPr>
            <w:tcW w:w="1800" w:type="dxa"/>
          </w:tcPr>
          <w:p w:rsidR="00037C84" w:rsidRPr="003C4C88" w:rsidRDefault="0080070B" w:rsidP="00692E5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EB3963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80070B" w:rsidP="00692E5B">
            <w:pPr>
              <w:rPr>
                <w:rFonts w:ascii="Arial" w:hAnsi="Arial" w:cs="Arial"/>
                <w:lang w:val="en-GB" w:eastAsia="en-GB"/>
              </w:rPr>
            </w:pPr>
            <w:r w:rsidRPr="00EB3963">
              <w:rPr>
                <w:rFonts w:ascii="Arial" w:hAnsi="Arial" w:cs="Arial"/>
                <w:bCs/>
                <w:lang w:val="fr-FR"/>
              </w:rPr>
              <w:t>3 groupes/salles d’atelier</w:t>
            </w:r>
          </w:p>
        </w:tc>
      </w:tr>
      <w:tr w:rsidR="00037C84" w:rsidRPr="003C4C88" w:rsidTr="00EB3963">
        <w:trPr>
          <w:trHeight w:val="683"/>
        </w:trPr>
        <w:tc>
          <w:tcPr>
            <w:tcW w:w="1800" w:type="dxa"/>
          </w:tcPr>
          <w:p w:rsidR="00037C84" w:rsidRPr="003C4C88" w:rsidRDefault="0080070B" w:rsidP="00692E5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EB3963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  <w:p w:rsidR="00037C84" w:rsidRPr="003C4C88" w:rsidRDefault="00037C84" w:rsidP="008844AC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</w:tcPr>
          <w:p w:rsidR="00037C84" w:rsidRPr="003C4C88" w:rsidRDefault="0080070B" w:rsidP="00692E5B">
            <w:pPr>
              <w:rPr>
                <w:rFonts w:ascii="Arial" w:hAnsi="Arial" w:cs="Arial"/>
                <w:bCs/>
                <w:lang w:val="en-GB"/>
              </w:rPr>
            </w:pPr>
            <w:r w:rsidRPr="00EB3963">
              <w:rPr>
                <w:rFonts w:ascii="Arial" w:hAnsi="Arial" w:cs="Arial"/>
                <w:bCs/>
                <w:lang w:val="fr-FR"/>
              </w:rPr>
              <w:t>1 tableau à feuilles mobiles et des marqueurs pour chaque salle d'atelier</w:t>
            </w:r>
            <w:r w:rsidR="00037C84" w:rsidRPr="003C4C88">
              <w:rPr>
                <w:rFonts w:ascii="Arial" w:hAnsi="Arial" w:cs="Arial"/>
                <w:bCs/>
                <w:lang w:val="en-GB"/>
              </w:rPr>
              <w:t xml:space="preserve"> </w:t>
            </w:r>
          </w:p>
          <w:p w:rsidR="005A3A28" w:rsidRPr="003C4C88" w:rsidRDefault="0080070B" w:rsidP="00692E5B">
            <w:pPr>
              <w:rPr>
                <w:rFonts w:ascii="Arial" w:hAnsi="Arial" w:cs="Arial"/>
                <w:bCs/>
                <w:lang w:val="en-GB"/>
              </w:rPr>
            </w:pPr>
            <w:r w:rsidRPr="00EB3963">
              <w:rPr>
                <w:rFonts w:ascii="Arial" w:hAnsi="Arial" w:cs="Arial"/>
                <w:bCs/>
                <w:lang w:val="fr-FR"/>
              </w:rPr>
              <w:t xml:space="preserve">Les trois questions </w:t>
            </w:r>
            <w:r w:rsidR="00692E5B">
              <w:rPr>
                <w:rFonts w:ascii="Arial" w:hAnsi="Arial" w:cs="Arial"/>
                <w:bCs/>
                <w:lang w:val="fr-FR"/>
              </w:rPr>
              <w:t>et l’étude de cas</w:t>
            </w:r>
            <w:r w:rsidRPr="00EB3963">
              <w:rPr>
                <w:rFonts w:ascii="Arial" w:hAnsi="Arial" w:cs="Arial"/>
                <w:bCs/>
                <w:lang w:val="fr-FR"/>
              </w:rPr>
              <w:t xml:space="preserve"> doivent être remis</w:t>
            </w:r>
            <w:r w:rsidR="00692E5B">
              <w:rPr>
                <w:rFonts w:ascii="Arial" w:hAnsi="Arial" w:cs="Arial"/>
                <w:bCs/>
                <w:lang w:val="fr-FR"/>
              </w:rPr>
              <w:t>es à chacun des groupes. Elle</w:t>
            </w:r>
            <w:r w:rsidRPr="00EB3963">
              <w:rPr>
                <w:rFonts w:ascii="Arial" w:hAnsi="Arial" w:cs="Arial"/>
                <w:bCs/>
                <w:lang w:val="fr-FR"/>
              </w:rPr>
              <w:t>s peuvent être écrit</w:t>
            </w:r>
            <w:r w:rsidR="00692E5B">
              <w:rPr>
                <w:rFonts w:ascii="Arial" w:hAnsi="Arial" w:cs="Arial"/>
                <w:bCs/>
                <w:lang w:val="fr-FR"/>
              </w:rPr>
              <w:t>e</w:t>
            </w:r>
            <w:r w:rsidRPr="00EB3963">
              <w:rPr>
                <w:rFonts w:ascii="Arial" w:hAnsi="Arial" w:cs="Arial"/>
                <w:bCs/>
                <w:lang w:val="fr-FR"/>
              </w:rPr>
              <w:t>s sur des tableaux à feuilles mobiles ou remis</w:t>
            </w:r>
            <w:r w:rsidR="00692E5B">
              <w:rPr>
                <w:rFonts w:ascii="Arial" w:hAnsi="Arial" w:cs="Arial"/>
                <w:bCs/>
                <w:lang w:val="fr-FR"/>
              </w:rPr>
              <w:t>es</w:t>
            </w:r>
            <w:r w:rsidRPr="00EB3963">
              <w:rPr>
                <w:rFonts w:ascii="Arial" w:hAnsi="Arial" w:cs="Arial"/>
                <w:bCs/>
                <w:lang w:val="fr-FR"/>
              </w:rPr>
              <w:t xml:space="preserve"> comme documents.</w:t>
            </w:r>
          </w:p>
          <w:p w:rsidR="00037C84" w:rsidRPr="003C4C88" w:rsidRDefault="00037C84" w:rsidP="00AE6618">
            <w:pPr>
              <w:rPr>
                <w:rFonts w:ascii="Arial" w:hAnsi="Arial" w:cs="Arial"/>
                <w:bCs/>
                <w:lang w:val="en-GB"/>
              </w:rPr>
            </w:pPr>
          </w:p>
        </w:tc>
      </w:tr>
      <w:tr w:rsidR="00037C84" w:rsidRPr="003C4C88" w:rsidTr="00EB3963">
        <w:trPr>
          <w:trHeight w:val="683"/>
        </w:trPr>
        <w:tc>
          <w:tcPr>
            <w:tcW w:w="1800" w:type="dxa"/>
          </w:tcPr>
          <w:p w:rsidR="00037C84" w:rsidRPr="003C4C88" w:rsidRDefault="0080070B" w:rsidP="00692E5B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EB3963">
              <w:rPr>
                <w:rFonts w:ascii="Arial" w:hAnsi="Arial" w:cs="Arial"/>
                <w:b/>
                <w:bCs/>
                <w:lang w:val="fr-FR"/>
              </w:rPr>
              <w:t>Autre support</w:t>
            </w:r>
          </w:p>
        </w:tc>
        <w:tc>
          <w:tcPr>
            <w:tcW w:w="8010" w:type="dxa"/>
          </w:tcPr>
          <w:p w:rsidR="00037C84" w:rsidRPr="003C4C88" w:rsidRDefault="0080070B" w:rsidP="00692E5B">
            <w:pPr>
              <w:rPr>
                <w:rFonts w:ascii="Arial" w:hAnsi="Arial" w:cs="Arial"/>
                <w:bCs/>
                <w:lang w:val="en-GB"/>
              </w:rPr>
            </w:pPr>
            <w:r w:rsidRPr="00EB3963">
              <w:rPr>
                <w:rFonts w:ascii="Arial" w:hAnsi="Arial" w:cs="Arial"/>
                <w:bCs/>
                <w:lang w:val="fr-FR"/>
              </w:rPr>
              <w:t>Aucun</w:t>
            </w:r>
          </w:p>
        </w:tc>
      </w:tr>
    </w:tbl>
    <w:p w:rsidR="00037C84" w:rsidRPr="003C4C88" w:rsidRDefault="00037C84" w:rsidP="001B7CFB">
      <w:pPr>
        <w:rPr>
          <w:rFonts w:ascii="Arial" w:hAnsi="Arial" w:cs="Arial"/>
          <w:b/>
          <w:bCs/>
          <w:lang w:val="en-GB"/>
        </w:rPr>
      </w:pPr>
    </w:p>
    <w:p w:rsidR="00037C84" w:rsidRPr="003C4C88" w:rsidRDefault="0080070B" w:rsidP="00692E5B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b/>
          <w:bCs/>
          <w:lang w:val="fr-FR"/>
        </w:rPr>
        <w:t xml:space="preserve">Objectif de </w:t>
      </w:r>
      <w:r w:rsidR="00692E5B" w:rsidRPr="00EB3963">
        <w:rPr>
          <w:rFonts w:ascii="Arial" w:hAnsi="Arial" w:cs="Arial"/>
          <w:b/>
          <w:bCs/>
          <w:lang w:val="fr-FR"/>
        </w:rPr>
        <w:t>l’activité</w:t>
      </w:r>
      <w:r w:rsidR="00692E5B">
        <w:rPr>
          <w:rFonts w:ascii="Arial" w:hAnsi="Arial" w:cs="Arial"/>
          <w:b/>
          <w:bCs/>
          <w:lang w:val="fr-FR"/>
        </w:rPr>
        <w:t> :</w:t>
      </w:r>
      <w:r w:rsidR="00037C84" w:rsidRPr="003C4C88">
        <w:rPr>
          <w:rFonts w:ascii="Arial" w:hAnsi="Arial" w:cs="Arial"/>
          <w:lang w:val="en-GB"/>
        </w:rPr>
        <w:t xml:space="preserve"> </w:t>
      </w:r>
    </w:p>
    <w:p w:rsidR="00037C84" w:rsidRPr="003C4C88" w:rsidRDefault="00037C84" w:rsidP="00692E5B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037C84" w:rsidRPr="003C4C88" w:rsidRDefault="0080070B" w:rsidP="00692E5B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Mieux comprendre </w:t>
      </w:r>
      <w:r w:rsidR="00EB3963" w:rsidRPr="00EB3963">
        <w:rPr>
          <w:rFonts w:ascii="Arial" w:hAnsi="Arial" w:cs="Arial"/>
          <w:lang w:val="fr-FR"/>
        </w:rPr>
        <w:t>le rôle et la fonction</w:t>
      </w:r>
      <w:r w:rsidRPr="00EB3963">
        <w:rPr>
          <w:rFonts w:ascii="Arial" w:hAnsi="Arial" w:cs="Arial"/>
          <w:lang w:val="fr-FR"/>
        </w:rPr>
        <w:t xml:space="preserve"> des points de contact n</w:t>
      </w:r>
      <w:r w:rsidR="00EB3963" w:rsidRPr="00EB3963">
        <w:rPr>
          <w:rFonts w:ascii="Arial" w:hAnsi="Arial" w:cs="Arial"/>
          <w:lang w:val="fr-FR"/>
        </w:rPr>
        <w:t>ationaux pour la Convention et d</w:t>
      </w:r>
      <w:r w:rsidRPr="00EB3963">
        <w:rPr>
          <w:rFonts w:ascii="Arial" w:hAnsi="Arial" w:cs="Arial"/>
          <w:lang w:val="fr-FR"/>
        </w:rPr>
        <w:t xml:space="preserve">es dispositifs indépendants de suivi et de mise en </w:t>
      </w:r>
      <w:r w:rsidR="00EB3963" w:rsidRPr="00EB3963">
        <w:rPr>
          <w:rFonts w:ascii="Arial" w:hAnsi="Arial" w:cs="Arial"/>
          <w:lang w:val="fr-FR"/>
        </w:rPr>
        <w:t>œuvre</w:t>
      </w:r>
      <w:r w:rsidRPr="00EB3963">
        <w:rPr>
          <w:rFonts w:ascii="Arial" w:hAnsi="Arial" w:cs="Arial"/>
          <w:lang w:val="fr-FR"/>
        </w:rPr>
        <w:t>, ainsi que leur interaction avec la société civile.</w:t>
      </w:r>
    </w:p>
    <w:p w:rsidR="007E1114" w:rsidRPr="003C4C88" w:rsidRDefault="007E1114" w:rsidP="00692E5B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037C84" w:rsidRPr="003C4C88" w:rsidRDefault="0080070B" w:rsidP="00692E5B">
      <w:pPr>
        <w:tabs>
          <w:tab w:val="left" w:pos="720"/>
        </w:tabs>
        <w:jc w:val="both"/>
        <w:rPr>
          <w:rFonts w:ascii="Arial" w:hAnsi="Arial" w:cs="Arial"/>
          <w:b/>
          <w:lang w:val="en-GB"/>
        </w:rPr>
      </w:pPr>
      <w:r w:rsidRPr="00EB3963">
        <w:rPr>
          <w:rFonts w:ascii="Arial" w:hAnsi="Arial" w:cs="Arial"/>
          <w:b/>
          <w:bCs/>
          <w:lang w:val="fr-FR"/>
        </w:rPr>
        <w:t xml:space="preserve">Dynamique, rôles et temps </w:t>
      </w:r>
      <w:r w:rsidR="00692E5B" w:rsidRPr="00EB3963">
        <w:rPr>
          <w:rFonts w:ascii="Arial" w:hAnsi="Arial" w:cs="Arial"/>
          <w:b/>
          <w:bCs/>
          <w:lang w:val="fr-FR"/>
        </w:rPr>
        <w:t>nécessaire :</w:t>
      </w:r>
    </w:p>
    <w:p w:rsidR="00037C84" w:rsidRPr="003C4C88" w:rsidRDefault="00037C84" w:rsidP="00692E5B">
      <w:pPr>
        <w:tabs>
          <w:tab w:val="left" w:pos="720"/>
        </w:tabs>
        <w:jc w:val="both"/>
        <w:rPr>
          <w:rFonts w:ascii="Arial" w:hAnsi="Arial" w:cs="Arial"/>
          <w:b/>
          <w:lang w:val="en-GB"/>
        </w:rPr>
      </w:pPr>
    </w:p>
    <w:p w:rsidR="00037C84" w:rsidRPr="003C4C88" w:rsidRDefault="0080070B" w:rsidP="00692E5B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EB3963">
        <w:rPr>
          <w:rFonts w:ascii="Arial" w:hAnsi="Arial" w:cs="Arial"/>
          <w:bCs/>
          <w:lang w:val="fr-FR"/>
        </w:rPr>
        <w:t xml:space="preserve">L’animateur explique l’activité à l’auditoire (objectif, dynamique, etc.) dans la salle principale et divise ensuite l'auditoire en </w:t>
      </w:r>
      <w:r w:rsidRPr="00EB3963">
        <w:rPr>
          <w:rFonts w:ascii="Arial" w:hAnsi="Arial" w:cs="Arial"/>
          <w:bCs/>
          <w:i/>
          <w:lang w:val="fr-FR"/>
        </w:rPr>
        <w:t>trois groupes de travail</w:t>
      </w:r>
      <w:r w:rsidRPr="00EB3963">
        <w:rPr>
          <w:rFonts w:ascii="Arial" w:hAnsi="Arial" w:cs="Arial"/>
          <w:bCs/>
          <w:lang w:val="fr-FR"/>
        </w:rPr>
        <w:t xml:space="preserve"> et les envoie chacun dans une salle d'atelier (10 mn).</w:t>
      </w:r>
    </w:p>
    <w:p w:rsidR="00037C84" w:rsidRPr="003C4C88" w:rsidRDefault="0080070B" w:rsidP="00692E5B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EB3963">
        <w:rPr>
          <w:rFonts w:ascii="Arial" w:hAnsi="Arial" w:cs="Arial"/>
          <w:bCs/>
          <w:lang w:val="fr-FR"/>
        </w:rPr>
        <w:t>Remue-méninge autour de trois questions.</w:t>
      </w:r>
      <w:r w:rsidR="00037C84" w:rsidRPr="003C4C88">
        <w:rPr>
          <w:rFonts w:ascii="Arial" w:hAnsi="Arial" w:cs="Arial"/>
          <w:bCs/>
          <w:lang w:val="en-GB"/>
        </w:rPr>
        <w:t xml:space="preserve"> </w:t>
      </w:r>
      <w:r w:rsidRPr="00EB3963">
        <w:rPr>
          <w:rFonts w:ascii="Arial" w:hAnsi="Arial" w:cs="Arial"/>
          <w:bCs/>
          <w:lang w:val="fr-FR"/>
        </w:rPr>
        <w:t>Le groupe de travail nomme un rapporteur (30 mn</w:t>
      </w:r>
      <w:r w:rsidR="00692E5B" w:rsidRPr="00EB3963">
        <w:rPr>
          <w:rFonts w:ascii="Arial" w:hAnsi="Arial" w:cs="Arial"/>
          <w:bCs/>
          <w:lang w:val="fr-FR"/>
        </w:rPr>
        <w:t>) ;</w:t>
      </w:r>
    </w:p>
    <w:p w:rsidR="00037C84" w:rsidRPr="003C4C88" w:rsidRDefault="00EB3963" w:rsidP="00692E5B">
      <w:pPr>
        <w:pStyle w:val="Paragraphedeliste"/>
        <w:numPr>
          <w:ilvl w:val="0"/>
          <w:numId w:val="5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EB3963">
        <w:rPr>
          <w:rFonts w:ascii="Arial" w:hAnsi="Arial" w:cs="Arial"/>
          <w:bCs/>
          <w:lang w:val="fr-FR"/>
        </w:rPr>
        <w:t>Retour en séance plénière :</w:t>
      </w:r>
      <w:r w:rsidR="0080070B" w:rsidRPr="00EB3963">
        <w:rPr>
          <w:rFonts w:ascii="Arial" w:hAnsi="Arial" w:cs="Arial"/>
          <w:bCs/>
          <w:lang w:val="fr-FR"/>
        </w:rPr>
        <w:t xml:space="preserve"> chaq</w:t>
      </w:r>
      <w:r w:rsidR="00692E5B">
        <w:rPr>
          <w:rFonts w:ascii="Arial" w:hAnsi="Arial" w:cs="Arial"/>
          <w:bCs/>
          <w:lang w:val="fr-FR"/>
        </w:rPr>
        <w:t>ue rapporteur présente</w:t>
      </w:r>
      <w:r w:rsidR="0080070B" w:rsidRPr="00EB3963">
        <w:rPr>
          <w:rFonts w:ascii="Arial" w:hAnsi="Arial" w:cs="Arial"/>
          <w:bCs/>
          <w:lang w:val="fr-FR"/>
        </w:rPr>
        <w:t xml:space="preserve"> les résultats de la discussion de son groupe de travail, souligne les domaines d'interaction possible entre les trois acteurs, et </w:t>
      </w:r>
      <w:r w:rsidRPr="00EB3963">
        <w:rPr>
          <w:rFonts w:ascii="Arial" w:hAnsi="Arial" w:cs="Arial"/>
          <w:bCs/>
          <w:lang w:val="fr-FR"/>
        </w:rPr>
        <w:t xml:space="preserve">s’ensuit </w:t>
      </w:r>
      <w:r w:rsidR="0080070B" w:rsidRPr="00EB3963">
        <w:rPr>
          <w:rFonts w:ascii="Arial" w:hAnsi="Arial" w:cs="Arial"/>
          <w:bCs/>
          <w:lang w:val="fr-FR"/>
        </w:rPr>
        <w:t xml:space="preserve">une brève discussion entre les trois </w:t>
      </w:r>
      <w:r w:rsidR="00692E5B">
        <w:rPr>
          <w:rFonts w:ascii="Arial" w:hAnsi="Arial" w:cs="Arial"/>
          <w:bCs/>
          <w:lang w:val="fr-FR"/>
        </w:rPr>
        <w:t>groupes au sujet des similitudes</w:t>
      </w:r>
      <w:r w:rsidR="0080070B" w:rsidRPr="00EB3963">
        <w:rPr>
          <w:rFonts w:ascii="Arial" w:hAnsi="Arial" w:cs="Arial"/>
          <w:bCs/>
          <w:lang w:val="fr-FR"/>
        </w:rPr>
        <w:t xml:space="preserve"> et des différen</w:t>
      </w:r>
      <w:r w:rsidRPr="00EB3963">
        <w:rPr>
          <w:rFonts w:ascii="Arial" w:hAnsi="Arial" w:cs="Arial"/>
          <w:bCs/>
          <w:lang w:val="fr-FR"/>
        </w:rPr>
        <w:t>c</w:t>
      </w:r>
      <w:r w:rsidR="0080070B" w:rsidRPr="00EB3963">
        <w:rPr>
          <w:rFonts w:ascii="Arial" w:hAnsi="Arial" w:cs="Arial"/>
          <w:bCs/>
          <w:lang w:val="fr-FR"/>
        </w:rPr>
        <w:t>es entre les trois points de vue (20 mn).</w:t>
      </w:r>
    </w:p>
    <w:p w:rsidR="00037C84" w:rsidRPr="003C4C88" w:rsidRDefault="00037C84" w:rsidP="00CE45ED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0000"/>
          <w:lang w:val="en-GB"/>
        </w:rPr>
      </w:pPr>
    </w:p>
    <w:p w:rsidR="00037C84" w:rsidRPr="00794CA5" w:rsidRDefault="00EB3963" w:rsidP="00692E5B">
      <w:pPr>
        <w:spacing w:before="120"/>
        <w:jc w:val="center"/>
        <w:rPr>
          <w:rFonts w:ascii="Arial" w:hAnsi="Arial" w:cs="Arial"/>
          <w:iCs/>
          <w:color w:val="000000"/>
          <w:u w:val="single"/>
          <w:lang w:val="en-GB"/>
        </w:rPr>
      </w:pPr>
      <w:r w:rsidRPr="00EB3963">
        <w:rPr>
          <w:rFonts w:ascii="Arial" w:hAnsi="Arial" w:cs="Arial"/>
          <w:iCs/>
          <w:color w:val="000000"/>
          <w:u w:val="single"/>
          <w:lang w:val="fr-FR"/>
        </w:rPr>
        <w:t>ETUDE DE CAS</w:t>
      </w:r>
    </w:p>
    <w:p w:rsidR="00037C84" w:rsidRPr="00794CA5" w:rsidRDefault="00037C84" w:rsidP="00B643B7">
      <w:pPr>
        <w:spacing w:before="120"/>
        <w:rPr>
          <w:rFonts w:ascii="Arial" w:hAnsi="Arial" w:cs="Arial"/>
          <w:iCs/>
          <w:color w:val="000000"/>
          <w:lang w:val="en-GB"/>
        </w:rPr>
      </w:pPr>
    </w:p>
    <w:p w:rsidR="00037C84" w:rsidRPr="00794CA5" w:rsidRDefault="00794CA5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>Le pays X vient juste de ratifier la Convention et son parlement a désigné le Ministre des affaires sociales comme point de contact.</w:t>
      </w:r>
      <w:r w:rsidR="0008664C" w:rsidRPr="00794CA5">
        <w:rPr>
          <w:rFonts w:ascii="Arial" w:hAnsi="Arial" w:cs="Arial"/>
          <w:lang w:val="en-GB"/>
        </w:rPr>
        <w:t xml:space="preserve"> </w:t>
      </w:r>
      <w:r w:rsidRPr="00EB3963">
        <w:rPr>
          <w:rFonts w:ascii="Arial" w:hAnsi="Arial" w:cs="Arial"/>
          <w:lang w:val="fr-FR"/>
        </w:rPr>
        <w:t>Il n’a pas nommé de</w:t>
      </w:r>
      <w:r w:rsidR="00EB3963" w:rsidRPr="00EB3963">
        <w:rPr>
          <w:rFonts w:ascii="Arial" w:hAnsi="Arial" w:cs="Arial"/>
          <w:lang w:val="fr-FR"/>
        </w:rPr>
        <w:t xml:space="preserve"> dispositif</w:t>
      </w:r>
      <w:r w:rsidRPr="00EB3963">
        <w:rPr>
          <w:rFonts w:ascii="Arial" w:hAnsi="Arial" w:cs="Arial"/>
          <w:lang w:val="fr-FR"/>
        </w:rPr>
        <w:t xml:space="preserve"> de coordination (ce qui est facultatif).</w:t>
      </w:r>
      <w:r w:rsidR="00F54E0D" w:rsidRPr="00794CA5">
        <w:rPr>
          <w:rFonts w:ascii="Arial" w:hAnsi="Arial" w:cs="Arial"/>
          <w:lang w:val="en-GB"/>
        </w:rPr>
        <w:t xml:space="preserve"> </w:t>
      </w:r>
      <w:r w:rsidR="00EB3963" w:rsidRPr="00EB3963">
        <w:rPr>
          <w:rFonts w:ascii="Arial" w:hAnsi="Arial" w:cs="Arial"/>
          <w:lang w:val="fr-FR"/>
        </w:rPr>
        <w:t>L’</w:t>
      </w:r>
      <w:r w:rsidRPr="00EB3963">
        <w:rPr>
          <w:rFonts w:ascii="Arial" w:hAnsi="Arial" w:cs="Arial"/>
          <w:lang w:val="fr-FR"/>
        </w:rPr>
        <w:t>INDH a été nommé</w:t>
      </w:r>
      <w:r w:rsidR="00692E5B">
        <w:rPr>
          <w:rFonts w:ascii="Arial" w:hAnsi="Arial" w:cs="Arial"/>
          <w:lang w:val="fr-FR"/>
        </w:rPr>
        <w:t>e</w:t>
      </w:r>
      <w:r w:rsidRPr="00EB3963">
        <w:rPr>
          <w:rFonts w:ascii="Arial" w:hAnsi="Arial" w:cs="Arial"/>
          <w:lang w:val="fr-FR"/>
        </w:rPr>
        <w:t xml:space="preserve"> comme mécanisme indépendant et la société civile </w:t>
      </w:r>
      <w:r w:rsidR="00EB3963" w:rsidRPr="00EB3963">
        <w:rPr>
          <w:rFonts w:ascii="Arial" w:hAnsi="Arial" w:cs="Arial"/>
          <w:lang w:val="fr-FR"/>
        </w:rPr>
        <w:t xml:space="preserve">entend bien </w:t>
      </w:r>
      <w:r w:rsidRPr="00EB3963">
        <w:rPr>
          <w:rFonts w:ascii="Arial" w:hAnsi="Arial" w:cs="Arial"/>
          <w:lang w:val="fr-FR"/>
        </w:rPr>
        <w:t xml:space="preserve">jouer son rôle dans le processus de mise en </w:t>
      </w:r>
      <w:r w:rsidR="00EB3963" w:rsidRPr="00EB3963">
        <w:rPr>
          <w:rFonts w:ascii="Arial" w:hAnsi="Arial" w:cs="Arial"/>
          <w:lang w:val="fr-FR"/>
        </w:rPr>
        <w:t>œuvre</w:t>
      </w:r>
      <w:r w:rsidRPr="00EB3963">
        <w:rPr>
          <w:rFonts w:ascii="Arial" w:hAnsi="Arial" w:cs="Arial"/>
          <w:lang w:val="fr-FR"/>
        </w:rPr>
        <w:t xml:space="preserve"> et de suivi.</w:t>
      </w:r>
    </w:p>
    <w:p w:rsidR="00F54E0D" w:rsidRPr="00794CA5" w:rsidRDefault="00F54E0D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</w:p>
    <w:p w:rsidR="00F54E0D" w:rsidRPr="003C4C88" w:rsidRDefault="00EB3963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bCs/>
          <w:lang w:val="fr-FR"/>
        </w:rPr>
        <w:t>Le</w:t>
      </w:r>
      <w:r w:rsidRPr="00EB3963">
        <w:rPr>
          <w:rFonts w:ascii="Arial" w:hAnsi="Arial" w:cs="Arial"/>
          <w:b/>
          <w:lang w:val="fr-FR"/>
        </w:rPr>
        <w:t xml:space="preserve"> </w:t>
      </w:r>
      <w:r w:rsidR="00794CA5" w:rsidRPr="00EB3963">
        <w:rPr>
          <w:rFonts w:ascii="Arial" w:hAnsi="Arial" w:cs="Arial"/>
          <w:b/>
          <w:lang w:val="fr-FR"/>
        </w:rPr>
        <w:t xml:space="preserve">Groupe 1 </w:t>
      </w:r>
      <w:r w:rsidR="00794CA5" w:rsidRPr="00EB3963">
        <w:rPr>
          <w:rFonts w:ascii="Arial" w:hAnsi="Arial" w:cs="Arial"/>
          <w:lang w:val="fr-FR"/>
        </w:rPr>
        <w:t xml:space="preserve">abordera les questions suivantes selon la vision du </w:t>
      </w:r>
      <w:r w:rsidR="00794CA5" w:rsidRPr="00EB3963">
        <w:rPr>
          <w:rFonts w:ascii="Arial" w:hAnsi="Arial" w:cs="Arial"/>
          <w:b/>
          <w:lang w:val="fr-FR"/>
        </w:rPr>
        <w:t>point de contact</w:t>
      </w:r>
      <w:r w:rsidRPr="00EB3963">
        <w:rPr>
          <w:rFonts w:ascii="Arial" w:hAnsi="Arial" w:cs="Arial"/>
          <w:b/>
          <w:lang w:val="fr-FR"/>
        </w:rPr>
        <w:t xml:space="preserve"> </w:t>
      </w:r>
      <w:r w:rsidR="00794CA5" w:rsidRPr="00EB3963">
        <w:rPr>
          <w:rFonts w:ascii="Arial" w:hAnsi="Arial" w:cs="Arial"/>
          <w:lang w:val="fr-FR"/>
        </w:rPr>
        <w:t>:</w:t>
      </w:r>
    </w:p>
    <w:p w:rsidR="00F54E0D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Quelles sont les questions relatives à la mise en </w:t>
      </w:r>
      <w:r w:rsidR="00EB3963" w:rsidRPr="00EB3963">
        <w:rPr>
          <w:rFonts w:ascii="Arial" w:hAnsi="Arial" w:cs="Arial"/>
          <w:lang w:val="fr-FR"/>
        </w:rPr>
        <w:t>œuvre</w:t>
      </w:r>
      <w:r w:rsidRPr="00EB3963">
        <w:rPr>
          <w:rFonts w:ascii="Arial" w:hAnsi="Arial" w:cs="Arial"/>
          <w:lang w:val="fr-FR"/>
        </w:rPr>
        <w:t xml:space="preserve"> qui doivent être traitées en priorité dans la première année qui suit la </w:t>
      </w:r>
      <w:r w:rsidR="00692E5B" w:rsidRPr="00EB3963">
        <w:rPr>
          <w:rFonts w:ascii="Arial" w:hAnsi="Arial" w:cs="Arial"/>
          <w:lang w:val="fr-FR"/>
        </w:rPr>
        <w:t>ratification ?</w:t>
      </w:r>
    </w:p>
    <w:p w:rsidR="00F54E0D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Quels sont les principaux défis de la mise en </w:t>
      </w:r>
      <w:r w:rsidR="00692E5B" w:rsidRPr="00EB3963">
        <w:rPr>
          <w:rFonts w:ascii="Arial" w:hAnsi="Arial" w:cs="Arial"/>
          <w:lang w:val="fr-FR"/>
        </w:rPr>
        <w:t>œuvre ?</w:t>
      </w:r>
    </w:p>
    <w:p w:rsidR="00F54E0D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Comment le point de contact doit-il s'engager auprès de l'INDH et de la société </w:t>
      </w:r>
      <w:r w:rsidR="00692E5B" w:rsidRPr="00EB3963">
        <w:rPr>
          <w:rFonts w:ascii="Arial" w:hAnsi="Arial" w:cs="Arial"/>
          <w:lang w:val="fr-FR"/>
        </w:rPr>
        <w:t>civile ?</w:t>
      </w:r>
    </w:p>
    <w:p w:rsidR="005A3A28" w:rsidRPr="003C4C88" w:rsidRDefault="005A3A28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</w:p>
    <w:p w:rsidR="005A3A28" w:rsidRPr="003C4C88" w:rsidRDefault="00EB3963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bookmarkStart w:id="0" w:name="_GoBack"/>
      <w:bookmarkEnd w:id="0"/>
      <w:r w:rsidRPr="00EB3963">
        <w:rPr>
          <w:rFonts w:ascii="Arial" w:hAnsi="Arial" w:cs="Arial"/>
          <w:bCs/>
          <w:lang w:val="fr-FR"/>
        </w:rPr>
        <w:t>Le</w:t>
      </w:r>
      <w:r w:rsidRPr="00EB3963">
        <w:rPr>
          <w:rFonts w:ascii="Arial" w:hAnsi="Arial" w:cs="Arial"/>
          <w:b/>
          <w:lang w:val="fr-FR"/>
        </w:rPr>
        <w:t xml:space="preserve"> </w:t>
      </w:r>
      <w:r w:rsidR="00794CA5" w:rsidRPr="00EB3963">
        <w:rPr>
          <w:rFonts w:ascii="Arial" w:hAnsi="Arial" w:cs="Arial"/>
          <w:b/>
          <w:lang w:val="fr-FR"/>
        </w:rPr>
        <w:t xml:space="preserve">Groupe 2 </w:t>
      </w:r>
      <w:r w:rsidR="00794CA5" w:rsidRPr="00EB3963">
        <w:rPr>
          <w:rFonts w:ascii="Arial" w:hAnsi="Arial" w:cs="Arial"/>
          <w:lang w:val="fr-FR"/>
        </w:rPr>
        <w:t>abordera les questions suivantes selon la vision du</w:t>
      </w:r>
      <w:r w:rsidR="00794CA5" w:rsidRPr="00EB3963">
        <w:rPr>
          <w:rFonts w:ascii="Arial" w:hAnsi="Arial" w:cs="Arial"/>
          <w:b/>
          <w:lang w:val="fr-FR"/>
        </w:rPr>
        <w:t xml:space="preserve"> mécanisme</w:t>
      </w:r>
      <w:r w:rsidRPr="00EB3963">
        <w:rPr>
          <w:rFonts w:ascii="Arial" w:hAnsi="Arial" w:cs="Arial"/>
          <w:b/>
          <w:lang w:val="fr-FR"/>
        </w:rPr>
        <w:t xml:space="preserve"> indépendant/INDH </w:t>
      </w:r>
      <w:r w:rsidR="00794CA5" w:rsidRPr="00EB3963">
        <w:rPr>
          <w:rFonts w:ascii="Arial" w:hAnsi="Arial" w:cs="Arial"/>
          <w:b/>
          <w:lang w:val="fr-FR"/>
        </w:rPr>
        <w:t>:</w:t>
      </w:r>
    </w:p>
    <w:p w:rsidR="005A3A28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Quelles sont les questions relatives à la mise en </w:t>
      </w:r>
      <w:r w:rsidR="00EB3963" w:rsidRPr="00EB3963">
        <w:rPr>
          <w:rFonts w:ascii="Arial" w:hAnsi="Arial" w:cs="Arial"/>
          <w:lang w:val="fr-FR"/>
        </w:rPr>
        <w:t>œuvre</w:t>
      </w:r>
      <w:r w:rsidRPr="00EB3963">
        <w:rPr>
          <w:rFonts w:ascii="Arial" w:hAnsi="Arial" w:cs="Arial"/>
          <w:lang w:val="fr-FR"/>
        </w:rPr>
        <w:t xml:space="preserve"> qui doivent être traitées en priorité dans la première année qui suit la </w:t>
      </w:r>
      <w:r w:rsidR="00EB3963" w:rsidRPr="00EB3963">
        <w:rPr>
          <w:rFonts w:ascii="Arial" w:hAnsi="Arial" w:cs="Arial"/>
          <w:lang w:val="fr-FR"/>
        </w:rPr>
        <w:t>ratification ?</w:t>
      </w:r>
    </w:p>
    <w:p w:rsidR="005A3A28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Quels sont les principaux défis de la mise en </w:t>
      </w:r>
      <w:r w:rsidR="00692E5B" w:rsidRPr="00EB3963">
        <w:rPr>
          <w:rFonts w:ascii="Arial" w:hAnsi="Arial" w:cs="Arial"/>
          <w:lang w:val="fr-FR"/>
        </w:rPr>
        <w:t>œuvre ?</w:t>
      </w:r>
    </w:p>
    <w:p w:rsidR="005A3A28" w:rsidRPr="003C4C88" w:rsidRDefault="00EB3963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>Comment l’INDH doit-elle</w:t>
      </w:r>
      <w:r w:rsidR="00794CA5" w:rsidRPr="00EB3963">
        <w:rPr>
          <w:rFonts w:ascii="Arial" w:hAnsi="Arial" w:cs="Arial"/>
          <w:lang w:val="fr-FR"/>
        </w:rPr>
        <w:t xml:space="preserve"> s'engager auprès du point de contact et de la société civile</w:t>
      </w:r>
      <w:r w:rsidRPr="00EB3963">
        <w:rPr>
          <w:rFonts w:ascii="Arial" w:hAnsi="Arial" w:cs="Arial"/>
          <w:lang w:val="fr-FR"/>
        </w:rPr>
        <w:t xml:space="preserve"> </w:t>
      </w:r>
      <w:r w:rsidR="00794CA5" w:rsidRPr="00EB3963">
        <w:rPr>
          <w:rFonts w:ascii="Arial" w:hAnsi="Arial" w:cs="Arial"/>
          <w:lang w:val="fr-FR"/>
        </w:rPr>
        <w:t>?</w:t>
      </w:r>
    </w:p>
    <w:p w:rsidR="005A3A28" w:rsidRPr="003C4C88" w:rsidRDefault="005A3A28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</w:p>
    <w:p w:rsidR="005A3A28" w:rsidRPr="003C4C88" w:rsidRDefault="00EB3963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bCs/>
          <w:lang w:val="fr-FR"/>
        </w:rPr>
        <w:t>Le</w:t>
      </w:r>
      <w:r w:rsidRPr="00EB3963">
        <w:rPr>
          <w:rFonts w:ascii="Arial" w:hAnsi="Arial" w:cs="Arial"/>
          <w:b/>
          <w:lang w:val="fr-FR"/>
        </w:rPr>
        <w:t xml:space="preserve"> Groupe 3 </w:t>
      </w:r>
      <w:r w:rsidRPr="00EB3963">
        <w:rPr>
          <w:rFonts w:ascii="Arial" w:hAnsi="Arial" w:cs="Arial"/>
          <w:bCs/>
          <w:lang w:val="fr-FR"/>
        </w:rPr>
        <w:t>abordera les questions suivantes selon la vision de la</w:t>
      </w:r>
      <w:r w:rsidRPr="00EB3963">
        <w:rPr>
          <w:rFonts w:ascii="Arial" w:hAnsi="Arial" w:cs="Arial"/>
          <w:b/>
          <w:lang w:val="fr-FR"/>
        </w:rPr>
        <w:t xml:space="preserve"> société civile :</w:t>
      </w:r>
    </w:p>
    <w:p w:rsidR="005A3A28" w:rsidRPr="003C4C88" w:rsidRDefault="00EB3963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Quelles sont les questions en matière de mise en œuvre que </w:t>
      </w:r>
      <w:r w:rsidR="00794CA5" w:rsidRPr="00EB3963">
        <w:rPr>
          <w:rFonts w:ascii="Arial" w:hAnsi="Arial" w:cs="Arial"/>
          <w:lang w:val="fr-FR"/>
        </w:rPr>
        <w:t>le point de contact et le m</w:t>
      </w:r>
      <w:r w:rsidRPr="00EB3963">
        <w:rPr>
          <w:rFonts w:ascii="Arial" w:hAnsi="Arial" w:cs="Arial"/>
          <w:lang w:val="fr-FR"/>
        </w:rPr>
        <w:t>écanisme indépendant doivent</w:t>
      </w:r>
      <w:r w:rsidR="00794CA5" w:rsidRPr="00EB3963">
        <w:rPr>
          <w:rFonts w:ascii="Arial" w:hAnsi="Arial" w:cs="Arial"/>
          <w:lang w:val="fr-FR"/>
        </w:rPr>
        <w:t xml:space="preserve"> traiter en priorité dans la première année qui suit la ratification</w:t>
      </w:r>
      <w:r w:rsidRPr="00EB3963">
        <w:rPr>
          <w:rFonts w:ascii="Arial" w:hAnsi="Arial" w:cs="Arial"/>
          <w:lang w:val="fr-FR"/>
        </w:rPr>
        <w:t xml:space="preserve"> </w:t>
      </w:r>
      <w:r w:rsidR="00794CA5" w:rsidRPr="00EB3963">
        <w:rPr>
          <w:rFonts w:ascii="Arial" w:hAnsi="Arial" w:cs="Arial"/>
          <w:lang w:val="fr-FR"/>
        </w:rPr>
        <w:t>?</w:t>
      </w:r>
    </w:p>
    <w:p w:rsidR="005A3A28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 xml:space="preserve">Quels sont les principaux défis de la mise en </w:t>
      </w:r>
      <w:r w:rsidR="00EB3963" w:rsidRPr="00EB3963">
        <w:rPr>
          <w:rFonts w:ascii="Arial" w:hAnsi="Arial" w:cs="Arial"/>
          <w:lang w:val="fr-FR"/>
        </w:rPr>
        <w:t>œuvre ?</w:t>
      </w:r>
    </w:p>
    <w:p w:rsidR="005A3A28" w:rsidRPr="003C4C88" w:rsidRDefault="00794CA5" w:rsidP="00692E5B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  <w:r w:rsidRPr="00EB3963">
        <w:rPr>
          <w:rFonts w:ascii="Arial" w:hAnsi="Arial" w:cs="Arial"/>
          <w:lang w:val="fr-FR"/>
        </w:rPr>
        <w:t>Quel</w:t>
      </w:r>
      <w:r w:rsidR="00EB3963" w:rsidRPr="00EB3963">
        <w:rPr>
          <w:rFonts w:ascii="Arial" w:hAnsi="Arial" w:cs="Arial"/>
          <w:lang w:val="fr-FR"/>
        </w:rPr>
        <w:t>le</w:t>
      </w:r>
      <w:r w:rsidRPr="00EB3963">
        <w:rPr>
          <w:rFonts w:ascii="Arial" w:hAnsi="Arial" w:cs="Arial"/>
          <w:lang w:val="fr-FR"/>
        </w:rPr>
        <w:t xml:space="preserve">s stratégies la société civile peut-elle suivre pour renforcer l'interaction du point de contact et du mécanisme </w:t>
      </w:r>
      <w:r w:rsidR="00692E5B" w:rsidRPr="00EB3963">
        <w:rPr>
          <w:rFonts w:ascii="Arial" w:hAnsi="Arial" w:cs="Arial"/>
          <w:lang w:val="fr-FR"/>
        </w:rPr>
        <w:t>indépendant ?</w:t>
      </w:r>
    </w:p>
    <w:p w:rsidR="005A3A28" w:rsidRPr="003C4C88" w:rsidRDefault="005A3A28" w:rsidP="00692E5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en-GB"/>
        </w:rPr>
      </w:pPr>
    </w:p>
    <w:sectPr w:rsidR="005A3A28" w:rsidRPr="003C4C88" w:rsidSect="009816E4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E0D" w:rsidRDefault="00F54E0D">
      <w:r>
        <w:separator/>
      </w:r>
    </w:p>
  </w:endnote>
  <w:endnote w:type="continuationSeparator" w:id="0">
    <w:p w:rsidR="00F54E0D" w:rsidRDefault="00F5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0D" w:rsidRDefault="00F54E0D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54E0D" w:rsidRDefault="00F54E0D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0D" w:rsidRPr="005526DF" w:rsidRDefault="00F54E0D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CC17F4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F54E0D" w:rsidRPr="00EB3963" w:rsidRDefault="0098215B" w:rsidP="0098215B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EB3963">
      <w:rPr>
        <w:rFonts w:ascii="Arial" w:hAnsi="Arial" w:cs="Arial"/>
        <w:b/>
        <w:color w:val="4F81BD"/>
        <w:sz w:val="20"/>
        <w:szCs w:val="20"/>
        <w:lang w:val="fr-FR"/>
      </w:rPr>
      <w:t xml:space="preserve">© 2012 </w:t>
    </w:r>
    <w:r w:rsidR="00FC54C0" w:rsidRPr="00EB3963">
      <w:rPr>
        <w:rFonts w:ascii="Arial" w:hAnsi="Arial" w:cs="Arial"/>
        <w:b/>
        <w:color w:val="4F81BD"/>
        <w:sz w:val="20"/>
        <w:szCs w:val="20"/>
        <w:lang w:val="fr-FR"/>
      </w:rPr>
      <w:t>Nations</w:t>
    </w:r>
    <w:r w:rsidR="00692E5B">
      <w:rPr>
        <w:rFonts w:ascii="Arial" w:hAnsi="Arial" w:cs="Arial"/>
        <w:b/>
        <w:color w:val="4F81BD"/>
        <w:sz w:val="20"/>
        <w:szCs w:val="20"/>
        <w:lang w:val="fr-FR"/>
      </w:rPr>
      <w:t xml:space="preserve"> </w:t>
    </w:r>
    <w:r w:rsidR="00FC54C0" w:rsidRPr="00EB3963">
      <w:rPr>
        <w:rFonts w:ascii="Arial" w:hAnsi="Arial" w:cs="Arial"/>
        <w:b/>
        <w:color w:val="4F81BD"/>
        <w:sz w:val="20"/>
        <w:szCs w:val="20"/>
        <w:lang w:val="fr-FR"/>
      </w:rPr>
      <w:t>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E0D" w:rsidRDefault="00F54E0D">
      <w:r>
        <w:separator/>
      </w:r>
    </w:p>
  </w:footnote>
  <w:footnote w:type="continuationSeparator" w:id="0">
    <w:p w:rsidR="00F54E0D" w:rsidRDefault="00F54E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C0" w:rsidRPr="00A46998" w:rsidRDefault="00FC54C0" w:rsidP="00FC54C0">
    <w:pPr>
      <w:pStyle w:val="En-tte"/>
      <w:tabs>
        <w:tab w:val="clear" w:pos="4320"/>
        <w:tab w:val="clear" w:pos="8640"/>
        <w:tab w:val="right" w:pos="10800"/>
      </w:tabs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6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81A"/>
    <w:multiLevelType w:val="hybridMultilevel"/>
    <w:tmpl w:val="C2F0F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05DCF"/>
    <w:multiLevelType w:val="hybridMultilevel"/>
    <w:tmpl w:val="3D126432"/>
    <w:lvl w:ilvl="0" w:tplc="34A85B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02430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23252F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F40D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1ED6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928707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0E7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8E339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49C9D6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6D6E"/>
    <w:multiLevelType w:val="hybridMultilevel"/>
    <w:tmpl w:val="EAF086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C4079"/>
    <w:multiLevelType w:val="hybridMultilevel"/>
    <w:tmpl w:val="D14A8F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8D4694"/>
    <w:multiLevelType w:val="hybridMultilevel"/>
    <w:tmpl w:val="E0AE02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2C6C08"/>
    <w:multiLevelType w:val="hybridMultilevel"/>
    <w:tmpl w:val="8C680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1B1E5D"/>
    <w:multiLevelType w:val="hybridMultilevel"/>
    <w:tmpl w:val="7FB26C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92B1A9C"/>
    <w:multiLevelType w:val="hybridMultilevel"/>
    <w:tmpl w:val="C5F0250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EDE3DDF"/>
    <w:multiLevelType w:val="hybridMultilevel"/>
    <w:tmpl w:val="2886E76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FB03532"/>
    <w:multiLevelType w:val="hybridMultilevel"/>
    <w:tmpl w:val="183E85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E8F595"/>
    <w:multiLevelType w:val="hybridMultilevel"/>
    <w:tmpl w:val="7C06B59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7E321A77"/>
    <w:multiLevelType w:val="hybridMultilevel"/>
    <w:tmpl w:val="6C186B3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8"/>
  </w:num>
  <w:num w:numId="5">
    <w:abstractNumId w:val="6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B"/>
    <w:rsid w:val="00022250"/>
    <w:rsid w:val="0002316C"/>
    <w:rsid w:val="00024964"/>
    <w:rsid w:val="0002527E"/>
    <w:rsid w:val="00037C84"/>
    <w:rsid w:val="00047B3A"/>
    <w:rsid w:val="00080842"/>
    <w:rsid w:val="00081EE2"/>
    <w:rsid w:val="00086549"/>
    <w:rsid w:val="0008664C"/>
    <w:rsid w:val="00093EAF"/>
    <w:rsid w:val="00094713"/>
    <w:rsid w:val="000A0B75"/>
    <w:rsid w:val="000A23A0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200B"/>
    <w:rsid w:val="00120883"/>
    <w:rsid w:val="00127CB0"/>
    <w:rsid w:val="00130DAD"/>
    <w:rsid w:val="00133CA1"/>
    <w:rsid w:val="0014409C"/>
    <w:rsid w:val="0016135F"/>
    <w:rsid w:val="00167963"/>
    <w:rsid w:val="00170C2B"/>
    <w:rsid w:val="001751C9"/>
    <w:rsid w:val="0018795A"/>
    <w:rsid w:val="00193191"/>
    <w:rsid w:val="001A4124"/>
    <w:rsid w:val="001A7D85"/>
    <w:rsid w:val="001B5212"/>
    <w:rsid w:val="001B7CFB"/>
    <w:rsid w:val="001D0F8F"/>
    <w:rsid w:val="001D747D"/>
    <w:rsid w:val="001E2899"/>
    <w:rsid w:val="001E73C9"/>
    <w:rsid w:val="001E7554"/>
    <w:rsid w:val="001F6F92"/>
    <w:rsid w:val="00206DED"/>
    <w:rsid w:val="002106EA"/>
    <w:rsid w:val="002320AB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11E1"/>
    <w:rsid w:val="002840BC"/>
    <w:rsid w:val="00287A03"/>
    <w:rsid w:val="002931BB"/>
    <w:rsid w:val="002A1156"/>
    <w:rsid w:val="002A6377"/>
    <w:rsid w:val="002B0149"/>
    <w:rsid w:val="002B3196"/>
    <w:rsid w:val="002B717D"/>
    <w:rsid w:val="002C2991"/>
    <w:rsid w:val="002C7E30"/>
    <w:rsid w:val="002D48BB"/>
    <w:rsid w:val="002E165F"/>
    <w:rsid w:val="002F6C94"/>
    <w:rsid w:val="002F79AD"/>
    <w:rsid w:val="003000B2"/>
    <w:rsid w:val="003014F5"/>
    <w:rsid w:val="00302DAD"/>
    <w:rsid w:val="00317326"/>
    <w:rsid w:val="00320BC1"/>
    <w:rsid w:val="003348FB"/>
    <w:rsid w:val="0033601D"/>
    <w:rsid w:val="00336311"/>
    <w:rsid w:val="00344406"/>
    <w:rsid w:val="00347CF5"/>
    <w:rsid w:val="00355338"/>
    <w:rsid w:val="0035600C"/>
    <w:rsid w:val="00356C3D"/>
    <w:rsid w:val="0036253A"/>
    <w:rsid w:val="003640D1"/>
    <w:rsid w:val="00373776"/>
    <w:rsid w:val="003841DB"/>
    <w:rsid w:val="003919F5"/>
    <w:rsid w:val="00394508"/>
    <w:rsid w:val="003A1DA1"/>
    <w:rsid w:val="003A66DA"/>
    <w:rsid w:val="003B2611"/>
    <w:rsid w:val="003B62D7"/>
    <w:rsid w:val="003C4C88"/>
    <w:rsid w:val="003C5BA5"/>
    <w:rsid w:val="003C5D69"/>
    <w:rsid w:val="003C6810"/>
    <w:rsid w:val="003C79DD"/>
    <w:rsid w:val="003D0B7F"/>
    <w:rsid w:val="003D3D05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5821"/>
    <w:rsid w:val="0044056C"/>
    <w:rsid w:val="00442016"/>
    <w:rsid w:val="00442510"/>
    <w:rsid w:val="004429A3"/>
    <w:rsid w:val="004434FA"/>
    <w:rsid w:val="00453143"/>
    <w:rsid w:val="0045411E"/>
    <w:rsid w:val="00467C83"/>
    <w:rsid w:val="004800D6"/>
    <w:rsid w:val="004809E2"/>
    <w:rsid w:val="004831FD"/>
    <w:rsid w:val="00485A05"/>
    <w:rsid w:val="00497057"/>
    <w:rsid w:val="00497C8F"/>
    <w:rsid w:val="004A6F2B"/>
    <w:rsid w:val="004C4650"/>
    <w:rsid w:val="004C602F"/>
    <w:rsid w:val="004D1D7F"/>
    <w:rsid w:val="004D489F"/>
    <w:rsid w:val="004E2936"/>
    <w:rsid w:val="004E373B"/>
    <w:rsid w:val="004F006D"/>
    <w:rsid w:val="004F542D"/>
    <w:rsid w:val="005007D7"/>
    <w:rsid w:val="00504BD1"/>
    <w:rsid w:val="005148F4"/>
    <w:rsid w:val="005216CB"/>
    <w:rsid w:val="00531E04"/>
    <w:rsid w:val="00534E2B"/>
    <w:rsid w:val="00545C67"/>
    <w:rsid w:val="005472A7"/>
    <w:rsid w:val="005526DF"/>
    <w:rsid w:val="005529C6"/>
    <w:rsid w:val="00554A04"/>
    <w:rsid w:val="00555CF7"/>
    <w:rsid w:val="0057291B"/>
    <w:rsid w:val="00580579"/>
    <w:rsid w:val="00584E77"/>
    <w:rsid w:val="005910DB"/>
    <w:rsid w:val="0059198E"/>
    <w:rsid w:val="00592A42"/>
    <w:rsid w:val="00592C90"/>
    <w:rsid w:val="005955B2"/>
    <w:rsid w:val="005A128C"/>
    <w:rsid w:val="005A36CF"/>
    <w:rsid w:val="005A3A28"/>
    <w:rsid w:val="005A42AE"/>
    <w:rsid w:val="005A7521"/>
    <w:rsid w:val="005C2832"/>
    <w:rsid w:val="005C2D50"/>
    <w:rsid w:val="005C332F"/>
    <w:rsid w:val="005C6BAA"/>
    <w:rsid w:val="005D0B1A"/>
    <w:rsid w:val="005D0F68"/>
    <w:rsid w:val="005D7FEB"/>
    <w:rsid w:val="005E445B"/>
    <w:rsid w:val="00605A5E"/>
    <w:rsid w:val="00623EA1"/>
    <w:rsid w:val="00642E23"/>
    <w:rsid w:val="006432C5"/>
    <w:rsid w:val="00646A99"/>
    <w:rsid w:val="00646F24"/>
    <w:rsid w:val="00647373"/>
    <w:rsid w:val="00647806"/>
    <w:rsid w:val="00651285"/>
    <w:rsid w:val="00654223"/>
    <w:rsid w:val="00667BFF"/>
    <w:rsid w:val="006734F5"/>
    <w:rsid w:val="00674EDF"/>
    <w:rsid w:val="0069180E"/>
    <w:rsid w:val="006929CF"/>
    <w:rsid w:val="00692E5B"/>
    <w:rsid w:val="006A5012"/>
    <w:rsid w:val="006A62ED"/>
    <w:rsid w:val="006C12FD"/>
    <w:rsid w:val="006C284E"/>
    <w:rsid w:val="006D1CC6"/>
    <w:rsid w:val="006D6AA8"/>
    <w:rsid w:val="006D7AB7"/>
    <w:rsid w:val="006E46F0"/>
    <w:rsid w:val="006F5AEE"/>
    <w:rsid w:val="006F6166"/>
    <w:rsid w:val="00700658"/>
    <w:rsid w:val="007039CF"/>
    <w:rsid w:val="00704CCD"/>
    <w:rsid w:val="007059B8"/>
    <w:rsid w:val="007117C5"/>
    <w:rsid w:val="00713354"/>
    <w:rsid w:val="00714E6D"/>
    <w:rsid w:val="007448F1"/>
    <w:rsid w:val="00745A9E"/>
    <w:rsid w:val="007522AB"/>
    <w:rsid w:val="0075548F"/>
    <w:rsid w:val="007567B4"/>
    <w:rsid w:val="0075727D"/>
    <w:rsid w:val="00771A78"/>
    <w:rsid w:val="007764E1"/>
    <w:rsid w:val="00781A66"/>
    <w:rsid w:val="00783106"/>
    <w:rsid w:val="00794CA5"/>
    <w:rsid w:val="007B472D"/>
    <w:rsid w:val="007C76C7"/>
    <w:rsid w:val="007D3D37"/>
    <w:rsid w:val="007E06A5"/>
    <w:rsid w:val="007E0E18"/>
    <w:rsid w:val="007E1114"/>
    <w:rsid w:val="007E6059"/>
    <w:rsid w:val="007F05EE"/>
    <w:rsid w:val="007F1AD9"/>
    <w:rsid w:val="007F4CEF"/>
    <w:rsid w:val="0080070B"/>
    <w:rsid w:val="00803651"/>
    <w:rsid w:val="008039AF"/>
    <w:rsid w:val="00805916"/>
    <w:rsid w:val="00822E0A"/>
    <w:rsid w:val="00837961"/>
    <w:rsid w:val="00841C65"/>
    <w:rsid w:val="008513AB"/>
    <w:rsid w:val="00851AD7"/>
    <w:rsid w:val="00857E78"/>
    <w:rsid w:val="0086691A"/>
    <w:rsid w:val="0088150F"/>
    <w:rsid w:val="0088261C"/>
    <w:rsid w:val="00883F0D"/>
    <w:rsid w:val="008844AC"/>
    <w:rsid w:val="008916BB"/>
    <w:rsid w:val="00895B6A"/>
    <w:rsid w:val="008A64B8"/>
    <w:rsid w:val="008A7C52"/>
    <w:rsid w:val="008B3648"/>
    <w:rsid w:val="008B7C96"/>
    <w:rsid w:val="008C2FF0"/>
    <w:rsid w:val="008C6CE1"/>
    <w:rsid w:val="008D0133"/>
    <w:rsid w:val="008D576C"/>
    <w:rsid w:val="008E3AB1"/>
    <w:rsid w:val="008E3B6C"/>
    <w:rsid w:val="008E5CA4"/>
    <w:rsid w:val="008E6CE0"/>
    <w:rsid w:val="008F52B6"/>
    <w:rsid w:val="008F5462"/>
    <w:rsid w:val="00904F93"/>
    <w:rsid w:val="00905B19"/>
    <w:rsid w:val="00905FF5"/>
    <w:rsid w:val="00934FF9"/>
    <w:rsid w:val="009351FA"/>
    <w:rsid w:val="0093692E"/>
    <w:rsid w:val="00943FCA"/>
    <w:rsid w:val="00957CF4"/>
    <w:rsid w:val="009635C8"/>
    <w:rsid w:val="009710E2"/>
    <w:rsid w:val="009816E4"/>
    <w:rsid w:val="00981CB0"/>
    <w:rsid w:val="0098215B"/>
    <w:rsid w:val="00991846"/>
    <w:rsid w:val="009B0017"/>
    <w:rsid w:val="009C3560"/>
    <w:rsid w:val="009C4239"/>
    <w:rsid w:val="009C4E47"/>
    <w:rsid w:val="009C583D"/>
    <w:rsid w:val="009D1DBD"/>
    <w:rsid w:val="009E14E0"/>
    <w:rsid w:val="009E4D17"/>
    <w:rsid w:val="00A038FA"/>
    <w:rsid w:val="00A13AF6"/>
    <w:rsid w:val="00A16520"/>
    <w:rsid w:val="00A2229E"/>
    <w:rsid w:val="00A35182"/>
    <w:rsid w:val="00A35BE5"/>
    <w:rsid w:val="00A3680A"/>
    <w:rsid w:val="00A51B15"/>
    <w:rsid w:val="00A54448"/>
    <w:rsid w:val="00A56CC7"/>
    <w:rsid w:val="00A6337A"/>
    <w:rsid w:val="00A70E54"/>
    <w:rsid w:val="00A81F4C"/>
    <w:rsid w:val="00A9365A"/>
    <w:rsid w:val="00AA0EA0"/>
    <w:rsid w:val="00AA3C49"/>
    <w:rsid w:val="00AB7EDF"/>
    <w:rsid w:val="00AC0645"/>
    <w:rsid w:val="00AC109B"/>
    <w:rsid w:val="00AD3D67"/>
    <w:rsid w:val="00AE4EBC"/>
    <w:rsid w:val="00AE6618"/>
    <w:rsid w:val="00B03B76"/>
    <w:rsid w:val="00B2519E"/>
    <w:rsid w:val="00B30096"/>
    <w:rsid w:val="00B30BC8"/>
    <w:rsid w:val="00B3164F"/>
    <w:rsid w:val="00B31B9D"/>
    <w:rsid w:val="00B33173"/>
    <w:rsid w:val="00B335FB"/>
    <w:rsid w:val="00B371A7"/>
    <w:rsid w:val="00B540C1"/>
    <w:rsid w:val="00B643B7"/>
    <w:rsid w:val="00B6455A"/>
    <w:rsid w:val="00B75AF3"/>
    <w:rsid w:val="00B77FDE"/>
    <w:rsid w:val="00B82C11"/>
    <w:rsid w:val="00B871FF"/>
    <w:rsid w:val="00B96A3A"/>
    <w:rsid w:val="00BA0993"/>
    <w:rsid w:val="00BA2624"/>
    <w:rsid w:val="00BA4130"/>
    <w:rsid w:val="00BB4FEE"/>
    <w:rsid w:val="00BB54C3"/>
    <w:rsid w:val="00BC3727"/>
    <w:rsid w:val="00BD2E52"/>
    <w:rsid w:val="00BD58FB"/>
    <w:rsid w:val="00BD7051"/>
    <w:rsid w:val="00BE00BD"/>
    <w:rsid w:val="00BE087F"/>
    <w:rsid w:val="00BE2E54"/>
    <w:rsid w:val="00BF1F85"/>
    <w:rsid w:val="00BF3312"/>
    <w:rsid w:val="00BF350E"/>
    <w:rsid w:val="00C00200"/>
    <w:rsid w:val="00C0696F"/>
    <w:rsid w:val="00C35173"/>
    <w:rsid w:val="00C35B70"/>
    <w:rsid w:val="00C3677B"/>
    <w:rsid w:val="00C3680F"/>
    <w:rsid w:val="00C47CB1"/>
    <w:rsid w:val="00C56DA3"/>
    <w:rsid w:val="00C606F3"/>
    <w:rsid w:val="00C82F70"/>
    <w:rsid w:val="00C843F0"/>
    <w:rsid w:val="00C96806"/>
    <w:rsid w:val="00C96E8A"/>
    <w:rsid w:val="00C9799B"/>
    <w:rsid w:val="00CB1829"/>
    <w:rsid w:val="00CB2E71"/>
    <w:rsid w:val="00CB36B4"/>
    <w:rsid w:val="00CB4552"/>
    <w:rsid w:val="00CB5C41"/>
    <w:rsid w:val="00CC1343"/>
    <w:rsid w:val="00CC17F4"/>
    <w:rsid w:val="00CC353E"/>
    <w:rsid w:val="00CC53B0"/>
    <w:rsid w:val="00CD4264"/>
    <w:rsid w:val="00CE1253"/>
    <w:rsid w:val="00CE3DAA"/>
    <w:rsid w:val="00CE45ED"/>
    <w:rsid w:val="00CE54B9"/>
    <w:rsid w:val="00CF1DE1"/>
    <w:rsid w:val="00CF7AD0"/>
    <w:rsid w:val="00D007FC"/>
    <w:rsid w:val="00D10B30"/>
    <w:rsid w:val="00D16E1F"/>
    <w:rsid w:val="00D3132D"/>
    <w:rsid w:val="00D314E4"/>
    <w:rsid w:val="00D35A55"/>
    <w:rsid w:val="00D36637"/>
    <w:rsid w:val="00D372CD"/>
    <w:rsid w:val="00D557A8"/>
    <w:rsid w:val="00D6510B"/>
    <w:rsid w:val="00D651C7"/>
    <w:rsid w:val="00D760B7"/>
    <w:rsid w:val="00D80C4F"/>
    <w:rsid w:val="00D81667"/>
    <w:rsid w:val="00D81AE7"/>
    <w:rsid w:val="00D87DB5"/>
    <w:rsid w:val="00D9705D"/>
    <w:rsid w:val="00DB22C9"/>
    <w:rsid w:val="00DC28DF"/>
    <w:rsid w:val="00DC7CA9"/>
    <w:rsid w:val="00DD103E"/>
    <w:rsid w:val="00DD5063"/>
    <w:rsid w:val="00DE3B88"/>
    <w:rsid w:val="00DE4C9F"/>
    <w:rsid w:val="00DF39A9"/>
    <w:rsid w:val="00E03E5C"/>
    <w:rsid w:val="00E0544F"/>
    <w:rsid w:val="00E10545"/>
    <w:rsid w:val="00E12996"/>
    <w:rsid w:val="00E158DC"/>
    <w:rsid w:val="00E165C1"/>
    <w:rsid w:val="00E21F11"/>
    <w:rsid w:val="00E23509"/>
    <w:rsid w:val="00E25694"/>
    <w:rsid w:val="00E32729"/>
    <w:rsid w:val="00E46C86"/>
    <w:rsid w:val="00E534E4"/>
    <w:rsid w:val="00E55D93"/>
    <w:rsid w:val="00E577A7"/>
    <w:rsid w:val="00E600DF"/>
    <w:rsid w:val="00E652AC"/>
    <w:rsid w:val="00E675C3"/>
    <w:rsid w:val="00E70764"/>
    <w:rsid w:val="00E8172A"/>
    <w:rsid w:val="00E86D95"/>
    <w:rsid w:val="00E928F7"/>
    <w:rsid w:val="00EA7491"/>
    <w:rsid w:val="00EB1FEE"/>
    <w:rsid w:val="00EB36D8"/>
    <w:rsid w:val="00EB3963"/>
    <w:rsid w:val="00EB7BA2"/>
    <w:rsid w:val="00EC17B7"/>
    <w:rsid w:val="00ED0502"/>
    <w:rsid w:val="00ED16F3"/>
    <w:rsid w:val="00ED1D63"/>
    <w:rsid w:val="00EE0426"/>
    <w:rsid w:val="00EE18A0"/>
    <w:rsid w:val="00EF3341"/>
    <w:rsid w:val="00F03B06"/>
    <w:rsid w:val="00F112B7"/>
    <w:rsid w:val="00F20A86"/>
    <w:rsid w:val="00F21CA0"/>
    <w:rsid w:val="00F327BB"/>
    <w:rsid w:val="00F416E9"/>
    <w:rsid w:val="00F42A27"/>
    <w:rsid w:val="00F4406A"/>
    <w:rsid w:val="00F44D70"/>
    <w:rsid w:val="00F54E0D"/>
    <w:rsid w:val="00F65595"/>
    <w:rsid w:val="00F65971"/>
    <w:rsid w:val="00F67667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12A9"/>
    <w:rsid w:val="00FC54C0"/>
    <w:rsid w:val="00FD5840"/>
    <w:rsid w:val="00FD63A9"/>
    <w:rsid w:val="00FD7D1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5ECF9284-FA40-48C8-9741-C632CC0CA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B313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3136"/>
    <w:rPr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-Accent11">
    <w:name w:val="Light Shading - Accent 11"/>
    <w:uiPriority w:val="99"/>
    <w:rsid w:val="00E55D93"/>
    <w:rPr>
      <w:color w:val="365F91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11">
    <w:name w:val="Light List - Accent 11"/>
    <w:uiPriority w:val="99"/>
    <w:rsid w:val="00E55D93"/>
    <w:rPr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Tableauliste8">
    <w:name w:val="Table List 8"/>
    <w:basedOn w:val="TableauNormal"/>
    <w:uiPriority w:val="99"/>
    <w:rsid w:val="00167963"/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Listeclaire-Accent6">
    <w:name w:val="Light List Accent 6"/>
    <w:basedOn w:val="TableauNormal"/>
    <w:uiPriority w:val="99"/>
    <w:rsid w:val="00167963"/>
    <w:rPr>
      <w:sz w:val="20"/>
      <w:szCs w:val="2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paragraph" w:styleId="NormalWeb">
    <w:name w:val="Normal (Web)"/>
    <w:basedOn w:val="Normal"/>
    <w:uiPriority w:val="99"/>
    <w:rsid w:val="00F4406A"/>
    <w:pPr>
      <w:spacing w:before="100" w:beforeAutospacing="1" w:after="100" w:afterAutospacing="1"/>
    </w:pPr>
  </w:style>
  <w:style w:type="character" w:styleId="Marquedecommentaire">
    <w:name w:val="annotation reference"/>
    <w:basedOn w:val="Policepardfaut"/>
    <w:uiPriority w:val="99"/>
    <w:semiHidden/>
    <w:unhideWhenUsed/>
    <w:rsid w:val="00F54E0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4E0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4E0D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4E0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4E0D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79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0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9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36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37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447</Words>
  <Characters>2460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>OHCHR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creator>Patrick Marega Castellan</dc:creator>
  <cp:lastModifiedBy>SABINE FOURNIER</cp:lastModifiedBy>
  <cp:revision>4</cp:revision>
  <cp:lastPrinted>2010-05-12T16:49:00Z</cp:lastPrinted>
  <dcterms:created xsi:type="dcterms:W3CDTF">2015-09-29T21:47:00Z</dcterms:created>
  <dcterms:modified xsi:type="dcterms:W3CDTF">2015-09-30T12:44:00Z</dcterms:modified>
</cp:coreProperties>
</file>